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9D8FF" w14:textId="77777777" w:rsidR="00DB29E0" w:rsidRPr="006E4F40" w:rsidRDefault="006E4F40">
      <w:pPr>
        <w:rPr>
          <w:b/>
          <w:bCs/>
        </w:rPr>
      </w:pPr>
      <w:r w:rsidRPr="006E4F40">
        <w:rPr>
          <w:b/>
          <w:bCs/>
        </w:rPr>
        <w:t>Overview:</w:t>
      </w:r>
    </w:p>
    <w:p w14:paraId="3856B848" w14:textId="1A5786C1" w:rsidR="006E4F40" w:rsidRDefault="006E4F40">
      <w:r>
        <w:t xml:space="preserve">This document provides a description of the data and programs used for the paper </w:t>
      </w:r>
      <w:r w:rsidR="00D451FE">
        <w:t>“Communicating Program Eligibility: A Supplemental Security Income (SSI) Field Experiment.”</w:t>
      </w:r>
    </w:p>
    <w:p w14:paraId="71E86F8E" w14:textId="77777777" w:rsidR="006E4F40" w:rsidRDefault="006E4F40"/>
    <w:p w14:paraId="7D0C8CC6" w14:textId="77777777" w:rsidR="006E4F40" w:rsidRDefault="006E4F40">
      <w:r>
        <w:rPr>
          <w:b/>
          <w:bCs/>
        </w:rPr>
        <w:t>Data Availability Statement:</w:t>
      </w:r>
    </w:p>
    <w:p w14:paraId="6581813D" w14:textId="2396D886" w:rsidR="006E4F40" w:rsidRDefault="006E4F40">
      <w:r>
        <w:t>This study used confidential administrative data from the Social Security Administration (SSA</w:t>
      </w:r>
      <w:proofErr w:type="gramStart"/>
      <w:r>
        <w:t>)</w:t>
      </w:r>
      <w:proofErr w:type="gramEnd"/>
      <w:r>
        <w:t xml:space="preserve"> and we are prohibited from posting the data. </w:t>
      </w:r>
      <w:r w:rsidR="00417E63">
        <w:t xml:space="preserve"> </w:t>
      </w:r>
      <w:r>
        <w:t xml:space="preserve">Researchers seeking to replicate the study will need to have either a contract, grant, or cooperative agreement with SSA or have an approved data exchange agreement.  The data exchange approval process can be found here:  </w:t>
      </w:r>
      <w:hyperlink r:id="rId4" w:history="1">
        <w:r w:rsidRPr="00934646">
          <w:rPr>
            <w:rStyle w:val="Hyperlink"/>
          </w:rPr>
          <w:t>https://www.ssa.gov/dataexchange/</w:t>
        </w:r>
      </w:hyperlink>
      <w:r>
        <w:t>.  Researchers may contact Jeffrey Hemmeter (</w:t>
      </w:r>
      <w:hyperlink r:id="rId5" w:history="1">
        <w:r w:rsidRPr="00934646">
          <w:rPr>
            <w:rStyle w:val="Hyperlink"/>
          </w:rPr>
          <w:t>jeffrey.hemmeter@ssa.gov</w:t>
        </w:r>
      </w:hyperlink>
      <w:r>
        <w:t>) at SSA for additional information about the data and files.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05"/>
        <w:gridCol w:w="5845"/>
      </w:tblGrid>
      <w:tr w:rsidR="006E4F40" w14:paraId="0EEF0B81" w14:textId="77777777" w:rsidTr="006E4F40">
        <w:tc>
          <w:tcPr>
            <w:tcW w:w="3505" w:type="dxa"/>
            <w:vAlign w:val="bottom"/>
          </w:tcPr>
          <w:p w14:paraId="3447DDFF" w14:textId="77777777" w:rsidR="006E4F40" w:rsidRPr="006E4F40" w:rsidRDefault="006E4F40" w:rsidP="006E4F4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E4F40">
              <w:rPr>
                <w:rFonts w:ascii="Calibri" w:hAnsi="Calibri" w:cs="Calibri"/>
                <w:b/>
                <w:bCs/>
                <w:color w:val="000000"/>
              </w:rPr>
              <w:t>Data</w:t>
            </w:r>
          </w:p>
        </w:tc>
        <w:tc>
          <w:tcPr>
            <w:tcW w:w="5845" w:type="dxa"/>
            <w:vAlign w:val="bottom"/>
          </w:tcPr>
          <w:p w14:paraId="441C5B80" w14:textId="77777777" w:rsidR="006E4F40" w:rsidRPr="006E4F40" w:rsidRDefault="006E4F40" w:rsidP="006E4F4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E4F40">
              <w:rPr>
                <w:rFonts w:ascii="Calibri" w:hAnsi="Calibri" w:cs="Calibri"/>
                <w:b/>
                <w:bCs/>
                <w:color w:val="000000"/>
              </w:rPr>
              <w:t>Notes</w:t>
            </w:r>
          </w:p>
        </w:tc>
      </w:tr>
      <w:tr w:rsidR="006E4F40" w14:paraId="32B02843" w14:textId="77777777" w:rsidTr="006E4F40">
        <w:tc>
          <w:tcPr>
            <w:tcW w:w="3505" w:type="dxa"/>
            <w:vAlign w:val="bottom"/>
          </w:tcPr>
          <w:p w14:paraId="03990AB7" w14:textId="77777777" w:rsidR="006E4F40" w:rsidRDefault="006E4F40" w:rsidP="006E4F4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Master Beneficiary Record</w:t>
            </w:r>
            <w:r w:rsidR="002B655A">
              <w:rPr>
                <w:rFonts w:ascii="Calibri" w:hAnsi="Calibri" w:cs="Calibri"/>
                <w:color w:val="000000"/>
              </w:rPr>
              <w:t xml:space="preserve"> (MBR)</w:t>
            </w:r>
          </w:p>
        </w:tc>
        <w:tc>
          <w:tcPr>
            <w:tcW w:w="5845" w:type="dxa"/>
            <w:vAlign w:val="bottom"/>
          </w:tcPr>
          <w:p w14:paraId="213CC076" w14:textId="77777777" w:rsidR="006E4F40" w:rsidRDefault="006E4F40" w:rsidP="006E4F4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File of all </w:t>
            </w:r>
            <w:r w:rsidR="002B655A">
              <w:rPr>
                <w:rFonts w:ascii="Calibri" w:hAnsi="Calibri" w:cs="Calibri"/>
                <w:color w:val="000000"/>
              </w:rPr>
              <w:t>Old-age, Survivors, and Disability (OASDI)</w:t>
            </w:r>
            <w:r>
              <w:rPr>
                <w:rFonts w:ascii="Calibri" w:hAnsi="Calibri" w:cs="Calibri"/>
                <w:color w:val="000000"/>
              </w:rPr>
              <w:t xml:space="preserve"> beneficiaries</w:t>
            </w:r>
          </w:p>
        </w:tc>
      </w:tr>
      <w:tr w:rsidR="006E4F40" w14:paraId="61876756" w14:textId="77777777" w:rsidTr="006E4F40">
        <w:tc>
          <w:tcPr>
            <w:tcW w:w="3505" w:type="dxa"/>
            <w:vAlign w:val="bottom"/>
          </w:tcPr>
          <w:p w14:paraId="2B05716D" w14:textId="77777777" w:rsidR="006E4F40" w:rsidRDefault="006E4F40" w:rsidP="006E4F4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Supplemental Security Record</w:t>
            </w:r>
            <w:r w:rsidR="002B655A">
              <w:rPr>
                <w:rFonts w:ascii="Calibri" w:hAnsi="Calibri" w:cs="Calibri"/>
                <w:color w:val="000000"/>
              </w:rPr>
              <w:t xml:space="preserve"> (SSR)</w:t>
            </w:r>
          </w:p>
        </w:tc>
        <w:tc>
          <w:tcPr>
            <w:tcW w:w="5845" w:type="dxa"/>
            <w:vAlign w:val="bottom"/>
          </w:tcPr>
          <w:p w14:paraId="0ADD2955" w14:textId="77777777" w:rsidR="006E4F40" w:rsidRDefault="006E4F40" w:rsidP="006E4F4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File of all </w:t>
            </w:r>
            <w:r w:rsidR="002B655A">
              <w:rPr>
                <w:rFonts w:ascii="Calibri" w:hAnsi="Calibri" w:cs="Calibri"/>
                <w:color w:val="000000"/>
              </w:rPr>
              <w:t>Supplemental Security Income (SSI)</w:t>
            </w:r>
            <w:r>
              <w:rPr>
                <w:rFonts w:ascii="Calibri" w:hAnsi="Calibri" w:cs="Calibri"/>
                <w:color w:val="000000"/>
              </w:rPr>
              <w:t xml:space="preserve"> applicants and recipients</w:t>
            </w:r>
          </w:p>
        </w:tc>
      </w:tr>
      <w:tr w:rsidR="006E4F40" w14:paraId="2E0D2F0B" w14:textId="77777777" w:rsidTr="006E4F40">
        <w:tc>
          <w:tcPr>
            <w:tcW w:w="3505" w:type="dxa"/>
            <w:vAlign w:val="bottom"/>
          </w:tcPr>
          <w:p w14:paraId="229436B2" w14:textId="77777777" w:rsidR="006E4F40" w:rsidRDefault="006E4F40" w:rsidP="006E4F4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Special Notice Options</w:t>
            </w:r>
            <w:r w:rsidR="002B655A">
              <w:rPr>
                <w:rFonts w:ascii="Calibri" w:hAnsi="Calibri" w:cs="Calibri"/>
                <w:color w:val="000000"/>
              </w:rPr>
              <w:t xml:space="preserve"> (SNO)</w:t>
            </w:r>
          </w:p>
        </w:tc>
        <w:tc>
          <w:tcPr>
            <w:tcW w:w="5845" w:type="dxa"/>
            <w:vAlign w:val="bottom"/>
          </w:tcPr>
          <w:p w14:paraId="2B030615" w14:textId="77777777" w:rsidR="006E4F40" w:rsidRDefault="006E4F40" w:rsidP="006E4F4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File with information on preferred type of notice (e.g., Braille, large type, etc.) </w:t>
            </w:r>
          </w:p>
        </w:tc>
      </w:tr>
      <w:tr w:rsidR="006E4F40" w14:paraId="671F7333" w14:textId="77777777" w:rsidTr="006E4F40">
        <w:tc>
          <w:tcPr>
            <w:tcW w:w="3505" w:type="dxa"/>
            <w:vAlign w:val="bottom"/>
          </w:tcPr>
          <w:p w14:paraId="4AD2838D" w14:textId="77777777" w:rsidR="006E4F40" w:rsidRDefault="006E4F40" w:rsidP="006E4F4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Master Earnings File</w:t>
            </w:r>
            <w:r w:rsidR="002B655A">
              <w:rPr>
                <w:rFonts w:ascii="Calibri" w:hAnsi="Calibri" w:cs="Calibri"/>
                <w:color w:val="000000"/>
              </w:rPr>
              <w:t xml:space="preserve"> (MEF)</w:t>
            </w:r>
          </w:p>
        </w:tc>
        <w:tc>
          <w:tcPr>
            <w:tcW w:w="5845" w:type="dxa"/>
            <w:vAlign w:val="bottom"/>
          </w:tcPr>
          <w:p w14:paraId="090D87CD" w14:textId="77777777" w:rsidR="006E4F40" w:rsidRDefault="006E4F40" w:rsidP="006E4F4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File with annual </w:t>
            </w:r>
            <w:r w:rsidR="002B655A">
              <w:rPr>
                <w:rFonts w:ascii="Calibri" w:hAnsi="Calibri" w:cs="Calibri"/>
                <w:color w:val="000000"/>
              </w:rPr>
              <w:t>Internal Revenue Service (</w:t>
            </w:r>
            <w:r>
              <w:rPr>
                <w:rFonts w:ascii="Calibri" w:hAnsi="Calibri" w:cs="Calibri"/>
                <w:color w:val="000000"/>
              </w:rPr>
              <w:t>IRS</w:t>
            </w:r>
            <w:r w:rsidR="002B655A">
              <w:rPr>
                <w:rFonts w:ascii="Calibri" w:hAnsi="Calibri" w:cs="Calibri"/>
                <w:color w:val="000000"/>
              </w:rPr>
              <w:t>)</w:t>
            </w:r>
            <w:r>
              <w:rPr>
                <w:rFonts w:ascii="Calibri" w:hAnsi="Calibri" w:cs="Calibri"/>
                <w:color w:val="000000"/>
              </w:rPr>
              <w:t xml:space="preserve"> earnings records</w:t>
            </w:r>
          </w:p>
        </w:tc>
      </w:tr>
      <w:tr w:rsidR="006E4F40" w14:paraId="3819BC35" w14:textId="77777777" w:rsidTr="006E4F40">
        <w:tc>
          <w:tcPr>
            <w:tcW w:w="3505" w:type="dxa"/>
            <w:vAlign w:val="bottom"/>
          </w:tcPr>
          <w:p w14:paraId="3C93606A" w14:textId="77777777" w:rsidR="006E4F40" w:rsidRDefault="006E4F40" w:rsidP="006E4F40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Numident</w:t>
            </w:r>
            <w:proofErr w:type="spellEnd"/>
          </w:p>
        </w:tc>
        <w:tc>
          <w:tcPr>
            <w:tcW w:w="5845" w:type="dxa"/>
            <w:vAlign w:val="bottom"/>
          </w:tcPr>
          <w:p w14:paraId="7CE6AA21" w14:textId="77777777" w:rsidR="006E4F40" w:rsidRDefault="006E4F40" w:rsidP="006E4F4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File with death records</w:t>
            </w:r>
          </w:p>
        </w:tc>
      </w:tr>
      <w:tr w:rsidR="006E4F40" w14:paraId="1149620A" w14:textId="77777777" w:rsidTr="006E4F40">
        <w:tc>
          <w:tcPr>
            <w:tcW w:w="3505" w:type="dxa"/>
            <w:vAlign w:val="bottom"/>
          </w:tcPr>
          <w:p w14:paraId="4E561FC9" w14:textId="77777777" w:rsidR="006E4F40" w:rsidRDefault="006E4F40" w:rsidP="006E4F4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MEDIB</w:t>
            </w:r>
          </w:p>
        </w:tc>
        <w:tc>
          <w:tcPr>
            <w:tcW w:w="5845" w:type="dxa"/>
            <w:vAlign w:val="bottom"/>
          </w:tcPr>
          <w:p w14:paraId="590E3663" w14:textId="77777777" w:rsidR="006E4F40" w:rsidRDefault="006E4F40" w:rsidP="006E4F4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Relational database used to identify SSA field offices</w:t>
            </w:r>
          </w:p>
        </w:tc>
      </w:tr>
    </w:tbl>
    <w:p w14:paraId="4742C697" w14:textId="77777777" w:rsidR="006E4F40" w:rsidRDefault="006E4F40"/>
    <w:p w14:paraId="03F1F30D" w14:textId="3A96F54E" w:rsidR="007A7D4D" w:rsidRPr="007A7D4D" w:rsidRDefault="007A7D4D">
      <w:pPr>
        <w:rPr>
          <w:b/>
          <w:bCs/>
        </w:rPr>
      </w:pPr>
      <w:r w:rsidRPr="007A7D4D">
        <w:rPr>
          <w:b/>
          <w:bCs/>
        </w:rPr>
        <w:t>Computational Requirements:</w:t>
      </w:r>
    </w:p>
    <w:p w14:paraId="5448E162" w14:textId="4075DCB8" w:rsidR="007A7D4D" w:rsidRDefault="007A7D4D">
      <w:r>
        <w:t xml:space="preserve">The programs were run on a combination of SAS 9.4, SAS Enterprise Guide 7.1, and Stata 17 in both a server and mainframe environment.  </w:t>
      </w:r>
      <w:r w:rsidR="002C6C97">
        <w:t xml:space="preserve">Total program run time was roughly </w:t>
      </w:r>
      <w:r w:rsidR="006D4B7F">
        <w:t>13 hours</w:t>
      </w:r>
      <w:r w:rsidR="002C6C97">
        <w:t xml:space="preserve">. </w:t>
      </w:r>
    </w:p>
    <w:p w14:paraId="67C96818" w14:textId="77777777" w:rsidR="006E4F40" w:rsidRDefault="006E4F40">
      <w:r>
        <w:rPr>
          <w:b/>
          <w:bCs/>
        </w:rPr>
        <w:t>Programs:</w:t>
      </w:r>
    </w:p>
    <w:p w14:paraId="34AB475F" w14:textId="0E49001A" w:rsidR="006E4F40" w:rsidRDefault="006E4F40">
      <w:r w:rsidRPr="006E4F40">
        <w:t xml:space="preserve">The following is a list of files under </w:t>
      </w:r>
      <w:r w:rsidR="007D34FE">
        <w:t>RCT ID # AEARCTR-0002423</w:t>
      </w:r>
      <w:r w:rsidRPr="006E4F40">
        <w:t xml:space="preserve"> in the</w:t>
      </w:r>
      <w:r w:rsidR="007D34FE">
        <w:t xml:space="preserve"> AEA RCT Registry</w:t>
      </w:r>
      <w:r w:rsidRPr="006E4F40">
        <w:t xml:space="preserve">.  The files are organized in the order in which they should be run to replicate the results.  </w:t>
      </w:r>
    </w:p>
    <w:p w14:paraId="29DDDB82" w14:textId="77777777" w:rsidR="006E4F40" w:rsidRDefault="006E4F4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65"/>
        <w:gridCol w:w="935"/>
        <w:gridCol w:w="993"/>
        <w:gridCol w:w="3957"/>
      </w:tblGrid>
      <w:tr w:rsidR="002B655A" w14:paraId="07474AB4" w14:textId="77777777" w:rsidTr="009263A5">
        <w:tc>
          <w:tcPr>
            <w:tcW w:w="0" w:type="auto"/>
            <w:vAlign w:val="bottom"/>
          </w:tcPr>
          <w:p w14:paraId="3F3AD574" w14:textId="77777777" w:rsidR="002B655A" w:rsidRPr="002B655A" w:rsidRDefault="002B655A" w:rsidP="002B655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B655A">
              <w:rPr>
                <w:rFonts w:ascii="Calibri" w:hAnsi="Calibri" w:cs="Calibri"/>
                <w:b/>
                <w:bCs/>
                <w:color w:val="000000"/>
              </w:rPr>
              <w:t>File</w:t>
            </w:r>
          </w:p>
        </w:tc>
        <w:tc>
          <w:tcPr>
            <w:tcW w:w="0" w:type="auto"/>
            <w:vAlign w:val="bottom"/>
          </w:tcPr>
          <w:p w14:paraId="4F1BAB11" w14:textId="77777777" w:rsidR="002B655A" w:rsidRPr="002B655A" w:rsidRDefault="002B655A" w:rsidP="002B655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B655A">
              <w:rPr>
                <w:rFonts w:ascii="Calibri" w:hAnsi="Calibri" w:cs="Calibri"/>
                <w:b/>
                <w:bCs/>
                <w:color w:val="000000"/>
              </w:rPr>
              <w:t>Type</w:t>
            </w:r>
          </w:p>
        </w:tc>
        <w:tc>
          <w:tcPr>
            <w:tcW w:w="0" w:type="auto"/>
            <w:vAlign w:val="bottom"/>
          </w:tcPr>
          <w:p w14:paraId="737E828A" w14:textId="77777777" w:rsidR="002B655A" w:rsidRPr="002B655A" w:rsidRDefault="002B655A" w:rsidP="002B655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B655A">
              <w:rPr>
                <w:rFonts w:ascii="Calibri" w:hAnsi="Calibri" w:cs="Calibri"/>
                <w:b/>
                <w:bCs/>
                <w:color w:val="000000"/>
              </w:rPr>
              <w:t>Program</w:t>
            </w:r>
          </w:p>
        </w:tc>
        <w:tc>
          <w:tcPr>
            <w:tcW w:w="0" w:type="auto"/>
            <w:vAlign w:val="bottom"/>
          </w:tcPr>
          <w:p w14:paraId="5762E064" w14:textId="77777777" w:rsidR="002B655A" w:rsidRPr="002B655A" w:rsidRDefault="002B655A" w:rsidP="002B655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B655A">
              <w:rPr>
                <w:rFonts w:ascii="Calibri" w:hAnsi="Calibri" w:cs="Calibri"/>
                <w:b/>
                <w:bCs/>
                <w:color w:val="000000"/>
              </w:rPr>
              <w:t>Description</w:t>
            </w:r>
          </w:p>
        </w:tc>
      </w:tr>
      <w:tr w:rsidR="002B655A" w14:paraId="1FBE4B2E" w14:textId="77777777" w:rsidTr="009263A5">
        <w:tc>
          <w:tcPr>
            <w:tcW w:w="0" w:type="auto"/>
            <w:vAlign w:val="bottom"/>
          </w:tcPr>
          <w:p w14:paraId="55097DDB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SNOFINAL</w:t>
            </w:r>
          </w:p>
        </w:tc>
        <w:tc>
          <w:tcPr>
            <w:tcW w:w="0" w:type="auto"/>
            <w:vAlign w:val="bottom"/>
          </w:tcPr>
          <w:p w14:paraId="682E29AD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Prep</w:t>
            </w:r>
          </w:p>
        </w:tc>
        <w:tc>
          <w:tcPr>
            <w:tcW w:w="0" w:type="auto"/>
            <w:vAlign w:val="bottom"/>
          </w:tcPr>
          <w:p w14:paraId="4E01B9FF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SAS</w:t>
            </w:r>
          </w:p>
        </w:tc>
        <w:tc>
          <w:tcPr>
            <w:tcW w:w="0" w:type="auto"/>
            <w:vAlign w:val="bottom"/>
          </w:tcPr>
          <w:p w14:paraId="334957E9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Obtains Special Notice Option (SNO) type data</w:t>
            </w:r>
          </w:p>
        </w:tc>
      </w:tr>
      <w:tr w:rsidR="002B655A" w14:paraId="4CC09728" w14:textId="77777777" w:rsidTr="009263A5">
        <w:tc>
          <w:tcPr>
            <w:tcW w:w="0" w:type="auto"/>
            <w:vAlign w:val="bottom"/>
          </w:tcPr>
          <w:p w14:paraId="6256ECC4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SNO to SAS</w:t>
            </w:r>
          </w:p>
        </w:tc>
        <w:tc>
          <w:tcPr>
            <w:tcW w:w="0" w:type="auto"/>
            <w:vAlign w:val="bottom"/>
          </w:tcPr>
          <w:p w14:paraId="3BC5F8DD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Prep</w:t>
            </w:r>
          </w:p>
        </w:tc>
        <w:tc>
          <w:tcPr>
            <w:tcW w:w="0" w:type="auto"/>
            <w:vAlign w:val="bottom"/>
          </w:tcPr>
          <w:p w14:paraId="34E91213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SAS</w:t>
            </w:r>
          </w:p>
        </w:tc>
        <w:tc>
          <w:tcPr>
            <w:tcW w:w="0" w:type="auto"/>
            <w:vAlign w:val="bottom"/>
          </w:tcPr>
          <w:p w14:paraId="6C6729EF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Reads SNO codes into SAS data set</w:t>
            </w:r>
          </w:p>
        </w:tc>
      </w:tr>
      <w:tr w:rsidR="002B655A" w14:paraId="7340C766" w14:textId="77777777" w:rsidTr="009263A5">
        <w:tc>
          <w:tcPr>
            <w:tcW w:w="0" w:type="auto"/>
            <w:vAlign w:val="bottom"/>
          </w:tcPr>
          <w:p w14:paraId="1373B193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SBST_Final</w:t>
            </w:r>
            <w:proofErr w:type="spellEnd"/>
          </w:p>
        </w:tc>
        <w:tc>
          <w:tcPr>
            <w:tcW w:w="0" w:type="auto"/>
            <w:vAlign w:val="bottom"/>
          </w:tcPr>
          <w:p w14:paraId="58701849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Prep</w:t>
            </w:r>
          </w:p>
        </w:tc>
        <w:tc>
          <w:tcPr>
            <w:tcW w:w="0" w:type="auto"/>
            <w:vAlign w:val="bottom"/>
          </w:tcPr>
          <w:p w14:paraId="5F609816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SAS</w:t>
            </w:r>
          </w:p>
        </w:tc>
        <w:tc>
          <w:tcPr>
            <w:tcW w:w="0" w:type="auto"/>
            <w:vAlign w:val="bottom"/>
          </w:tcPr>
          <w:p w14:paraId="17B76F98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Pulls in potential OASDI sample from the MBR, merges with SSI data from SSR, SNO data, and Field Office data from MEDIB, creating variables used in study</w:t>
            </w:r>
          </w:p>
        </w:tc>
      </w:tr>
      <w:tr w:rsidR="002B655A" w14:paraId="6D7586CC" w14:textId="77777777" w:rsidTr="009263A5">
        <w:tc>
          <w:tcPr>
            <w:tcW w:w="0" w:type="auto"/>
            <w:vAlign w:val="bottom"/>
          </w:tcPr>
          <w:p w14:paraId="172E8234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Randomization Final</w:t>
            </w:r>
          </w:p>
        </w:tc>
        <w:tc>
          <w:tcPr>
            <w:tcW w:w="0" w:type="auto"/>
            <w:vAlign w:val="bottom"/>
          </w:tcPr>
          <w:p w14:paraId="6E45B8F7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Prep</w:t>
            </w:r>
          </w:p>
        </w:tc>
        <w:tc>
          <w:tcPr>
            <w:tcW w:w="0" w:type="auto"/>
            <w:vAlign w:val="bottom"/>
          </w:tcPr>
          <w:p w14:paraId="03D5BECA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SAS</w:t>
            </w:r>
          </w:p>
        </w:tc>
        <w:tc>
          <w:tcPr>
            <w:tcW w:w="0" w:type="auto"/>
            <w:vAlign w:val="bottom"/>
          </w:tcPr>
          <w:p w14:paraId="3A0503F4" w14:textId="4C19FE9D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Randomly selects 400,000 and randomizes into treatments groups, creating primary intervention data</w:t>
            </w:r>
          </w:p>
        </w:tc>
      </w:tr>
      <w:tr w:rsidR="002B655A" w14:paraId="527E066F" w14:textId="77777777" w:rsidTr="009263A5">
        <w:tc>
          <w:tcPr>
            <w:tcW w:w="0" w:type="auto"/>
            <w:vAlign w:val="bottom"/>
          </w:tcPr>
          <w:p w14:paraId="50C1342C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Mail Files</w:t>
            </w:r>
          </w:p>
        </w:tc>
        <w:tc>
          <w:tcPr>
            <w:tcW w:w="0" w:type="auto"/>
            <w:vAlign w:val="bottom"/>
          </w:tcPr>
          <w:p w14:paraId="1EFB63C3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Prep</w:t>
            </w:r>
          </w:p>
        </w:tc>
        <w:tc>
          <w:tcPr>
            <w:tcW w:w="0" w:type="auto"/>
            <w:vAlign w:val="bottom"/>
          </w:tcPr>
          <w:p w14:paraId="2D2EF945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SAS</w:t>
            </w:r>
          </w:p>
        </w:tc>
        <w:tc>
          <w:tcPr>
            <w:tcW w:w="0" w:type="auto"/>
            <w:vAlign w:val="bottom"/>
          </w:tcPr>
          <w:p w14:paraId="7E1DA634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Separates treatment group files for mailing</w:t>
            </w:r>
          </w:p>
        </w:tc>
      </w:tr>
      <w:tr w:rsidR="002B655A" w14:paraId="1EA16B43" w14:textId="77777777" w:rsidTr="009263A5">
        <w:tc>
          <w:tcPr>
            <w:tcW w:w="0" w:type="auto"/>
            <w:vAlign w:val="bottom"/>
          </w:tcPr>
          <w:p w14:paraId="47C9BFBE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 Stata</w:t>
            </w:r>
          </w:p>
        </w:tc>
        <w:tc>
          <w:tcPr>
            <w:tcW w:w="0" w:type="auto"/>
            <w:vAlign w:val="bottom"/>
          </w:tcPr>
          <w:p w14:paraId="21CDB9B0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Prep</w:t>
            </w:r>
          </w:p>
        </w:tc>
        <w:tc>
          <w:tcPr>
            <w:tcW w:w="0" w:type="auto"/>
            <w:vAlign w:val="bottom"/>
          </w:tcPr>
          <w:p w14:paraId="6C594A5C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SAS</w:t>
            </w:r>
          </w:p>
        </w:tc>
        <w:tc>
          <w:tcPr>
            <w:tcW w:w="0" w:type="auto"/>
            <w:vAlign w:val="bottom"/>
          </w:tcPr>
          <w:p w14:paraId="388698D1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Exports data to Stata</w:t>
            </w:r>
          </w:p>
        </w:tc>
      </w:tr>
      <w:tr w:rsidR="002B655A" w14:paraId="1933641B" w14:textId="77777777" w:rsidTr="009263A5">
        <w:tc>
          <w:tcPr>
            <w:tcW w:w="0" w:type="auto"/>
            <w:vAlign w:val="bottom"/>
          </w:tcPr>
          <w:p w14:paraId="319C9AF2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Randomization Checks.do</w:t>
            </w:r>
          </w:p>
        </w:tc>
        <w:tc>
          <w:tcPr>
            <w:tcW w:w="0" w:type="auto"/>
            <w:vAlign w:val="bottom"/>
          </w:tcPr>
          <w:p w14:paraId="5FF0F2D4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Prep</w:t>
            </w:r>
          </w:p>
        </w:tc>
        <w:tc>
          <w:tcPr>
            <w:tcW w:w="0" w:type="auto"/>
            <w:vAlign w:val="bottom"/>
          </w:tcPr>
          <w:p w14:paraId="39A0A2B5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Stata</w:t>
            </w:r>
          </w:p>
        </w:tc>
        <w:tc>
          <w:tcPr>
            <w:tcW w:w="0" w:type="auto"/>
            <w:vAlign w:val="bottom"/>
          </w:tcPr>
          <w:p w14:paraId="628EBE9C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Checks randomization balance</w:t>
            </w:r>
          </w:p>
        </w:tc>
      </w:tr>
      <w:tr w:rsidR="002B655A" w14:paraId="46F706D7" w14:textId="77777777" w:rsidTr="009263A5">
        <w:tc>
          <w:tcPr>
            <w:tcW w:w="0" w:type="auto"/>
            <w:vAlign w:val="bottom"/>
          </w:tcPr>
          <w:p w14:paraId="639415D4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Birthday</w:t>
            </w:r>
          </w:p>
        </w:tc>
        <w:tc>
          <w:tcPr>
            <w:tcW w:w="0" w:type="auto"/>
            <w:vAlign w:val="bottom"/>
          </w:tcPr>
          <w:p w14:paraId="431664CB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Prep</w:t>
            </w:r>
          </w:p>
        </w:tc>
        <w:tc>
          <w:tcPr>
            <w:tcW w:w="0" w:type="auto"/>
            <w:vAlign w:val="bottom"/>
          </w:tcPr>
          <w:p w14:paraId="4D25A679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SAS</w:t>
            </w:r>
          </w:p>
        </w:tc>
        <w:tc>
          <w:tcPr>
            <w:tcW w:w="0" w:type="auto"/>
            <w:vAlign w:val="bottom"/>
          </w:tcPr>
          <w:p w14:paraId="38704AEC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Adds birthdays to sample and calculates full retirement age to intervention data</w:t>
            </w:r>
          </w:p>
        </w:tc>
      </w:tr>
      <w:tr w:rsidR="002B655A" w14:paraId="07F33F7D" w14:textId="77777777" w:rsidTr="009263A5">
        <w:tc>
          <w:tcPr>
            <w:tcW w:w="0" w:type="auto"/>
            <w:vAlign w:val="bottom"/>
          </w:tcPr>
          <w:p w14:paraId="0DCE4E69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Applications 6 </w:t>
            </w:r>
            <w:proofErr w:type="spellStart"/>
            <w:r>
              <w:rPr>
                <w:rFonts w:ascii="Calibri" w:hAnsi="Calibri" w:cs="Calibri"/>
                <w:color w:val="000000"/>
              </w:rPr>
              <w:t>RandR</w:t>
            </w:r>
            <w:proofErr w:type="spellEnd"/>
          </w:p>
        </w:tc>
        <w:tc>
          <w:tcPr>
            <w:tcW w:w="0" w:type="auto"/>
            <w:vAlign w:val="bottom"/>
          </w:tcPr>
          <w:p w14:paraId="3EA2BFA0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Prep</w:t>
            </w:r>
          </w:p>
        </w:tc>
        <w:tc>
          <w:tcPr>
            <w:tcW w:w="0" w:type="auto"/>
            <w:vAlign w:val="bottom"/>
          </w:tcPr>
          <w:p w14:paraId="049E40C9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SAS</w:t>
            </w:r>
          </w:p>
        </w:tc>
        <w:tc>
          <w:tcPr>
            <w:tcW w:w="0" w:type="auto"/>
            <w:vAlign w:val="bottom"/>
          </w:tcPr>
          <w:p w14:paraId="46280276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Adds Windfall Elimination Provision (WEP) and Government Pension Offset (GPO) data, death, and SSI outcome data to intervention data</w:t>
            </w:r>
          </w:p>
        </w:tc>
      </w:tr>
      <w:tr w:rsidR="002B655A" w14:paraId="0169458B" w14:textId="77777777" w:rsidTr="009263A5">
        <w:tc>
          <w:tcPr>
            <w:tcW w:w="0" w:type="auto"/>
            <w:vAlign w:val="bottom"/>
          </w:tcPr>
          <w:p w14:paraId="19D750FD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Earnings Bucket</w:t>
            </w:r>
          </w:p>
        </w:tc>
        <w:tc>
          <w:tcPr>
            <w:tcW w:w="0" w:type="auto"/>
            <w:vAlign w:val="bottom"/>
          </w:tcPr>
          <w:p w14:paraId="744AC4B0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Prep</w:t>
            </w:r>
          </w:p>
        </w:tc>
        <w:tc>
          <w:tcPr>
            <w:tcW w:w="0" w:type="auto"/>
            <w:vAlign w:val="bottom"/>
          </w:tcPr>
          <w:p w14:paraId="7368786A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SAS</w:t>
            </w:r>
          </w:p>
        </w:tc>
        <w:tc>
          <w:tcPr>
            <w:tcW w:w="0" w:type="auto"/>
            <w:vAlign w:val="bottom"/>
          </w:tcPr>
          <w:p w14:paraId="09E06AAE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Creates Earnings Record data</w:t>
            </w:r>
          </w:p>
        </w:tc>
      </w:tr>
      <w:tr w:rsidR="002B655A" w14:paraId="1C23CF25" w14:textId="77777777" w:rsidTr="009263A5">
        <w:tc>
          <w:tcPr>
            <w:tcW w:w="0" w:type="auto"/>
            <w:vAlign w:val="bottom"/>
          </w:tcPr>
          <w:p w14:paraId="3E9D9F0B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Buckets Macro Year Number</w:t>
            </w:r>
          </w:p>
        </w:tc>
        <w:tc>
          <w:tcPr>
            <w:tcW w:w="0" w:type="auto"/>
            <w:vAlign w:val="bottom"/>
          </w:tcPr>
          <w:p w14:paraId="3FEB2FA8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Prep</w:t>
            </w:r>
          </w:p>
        </w:tc>
        <w:tc>
          <w:tcPr>
            <w:tcW w:w="0" w:type="auto"/>
            <w:vAlign w:val="bottom"/>
          </w:tcPr>
          <w:p w14:paraId="3C9009FC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SAS</w:t>
            </w:r>
          </w:p>
        </w:tc>
        <w:tc>
          <w:tcPr>
            <w:tcW w:w="0" w:type="auto"/>
            <w:vAlign w:val="bottom"/>
          </w:tcPr>
          <w:p w14:paraId="7CDBED19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Converts earnings data to person-based data</w:t>
            </w:r>
          </w:p>
        </w:tc>
      </w:tr>
      <w:tr w:rsidR="002B655A" w14:paraId="4DE3C185" w14:textId="77777777" w:rsidTr="009263A5">
        <w:tc>
          <w:tcPr>
            <w:tcW w:w="0" w:type="auto"/>
            <w:vAlign w:val="bottom"/>
          </w:tcPr>
          <w:p w14:paraId="24CE8A0C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Add Earnings</w:t>
            </w:r>
          </w:p>
        </w:tc>
        <w:tc>
          <w:tcPr>
            <w:tcW w:w="0" w:type="auto"/>
            <w:vAlign w:val="bottom"/>
          </w:tcPr>
          <w:p w14:paraId="2292AC67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Prep</w:t>
            </w:r>
          </w:p>
        </w:tc>
        <w:tc>
          <w:tcPr>
            <w:tcW w:w="0" w:type="auto"/>
            <w:vAlign w:val="bottom"/>
          </w:tcPr>
          <w:p w14:paraId="6FECAE2D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SAS</w:t>
            </w:r>
          </w:p>
        </w:tc>
        <w:tc>
          <w:tcPr>
            <w:tcW w:w="0" w:type="auto"/>
            <w:vAlign w:val="bottom"/>
          </w:tcPr>
          <w:p w14:paraId="65E2EE7B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Adds earnings data to intervention data</w:t>
            </w:r>
          </w:p>
        </w:tc>
      </w:tr>
      <w:tr w:rsidR="002B655A" w14:paraId="0E2C3352" w14:textId="77777777" w:rsidTr="009263A5">
        <w:tc>
          <w:tcPr>
            <w:tcW w:w="0" w:type="auto"/>
            <w:vAlign w:val="bottom"/>
          </w:tcPr>
          <w:p w14:paraId="3583E72E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 Stata 4</w:t>
            </w:r>
          </w:p>
        </w:tc>
        <w:tc>
          <w:tcPr>
            <w:tcW w:w="0" w:type="auto"/>
            <w:vAlign w:val="bottom"/>
          </w:tcPr>
          <w:p w14:paraId="20489DB7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Prep</w:t>
            </w:r>
          </w:p>
        </w:tc>
        <w:tc>
          <w:tcPr>
            <w:tcW w:w="0" w:type="auto"/>
            <w:vAlign w:val="bottom"/>
          </w:tcPr>
          <w:p w14:paraId="1CD72C55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SAS</w:t>
            </w:r>
          </w:p>
        </w:tc>
        <w:tc>
          <w:tcPr>
            <w:tcW w:w="0" w:type="auto"/>
            <w:vAlign w:val="bottom"/>
          </w:tcPr>
          <w:p w14:paraId="05CC6ADC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Exports data to Stata for analysis</w:t>
            </w:r>
          </w:p>
        </w:tc>
      </w:tr>
      <w:tr w:rsidR="002B655A" w14:paraId="067E69EB" w14:textId="77777777" w:rsidTr="009263A5">
        <w:tc>
          <w:tcPr>
            <w:tcW w:w="0" w:type="auto"/>
            <w:vAlign w:val="bottom"/>
          </w:tcPr>
          <w:p w14:paraId="50B98982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Data_2022_06_06.do</w:t>
            </w:r>
          </w:p>
        </w:tc>
        <w:tc>
          <w:tcPr>
            <w:tcW w:w="0" w:type="auto"/>
            <w:vAlign w:val="bottom"/>
          </w:tcPr>
          <w:p w14:paraId="78DD2D52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Prep</w:t>
            </w:r>
          </w:p>
        </w:tc>
        <w:tc>
          <w:tcPr>
            <w:tcW w:w="0" w:type="auto"/>
            <w:vAlign w:val="bottom"/>
          </w:tcPr>
          <w:p w14:paraId="58208E9C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Stata</w:t>
            </w:r>
          </w:p>
        </w:tc>
        <w:tc>
          <w:tcPr>
            <w:tcW w:w="0" w:type="auto"/>
            <w:vAlign w:val="bottom"/>
          </w:tcPr>
          <w:p w14:paraId="740BDF32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Prep data</w:t>
            </w:r>
          </w:p>
        </w:tc>
      </w:tr>
      <w:tr w:rsidR="002B655A" w14:paraId="1B98A20D" w14:textId="77777777" w:rsidTr="009263A5">
        <w:tc>
          <w:tcPr>
            <w:tcW w:w="0" w:type="auto"/>
            <w:vAlign w:val="bottom"/>
          </w:tcPr>
          <w:p w14:paraId="3AB20D73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OutcomesMonth24_2024_02_22.do</w:t>
            </w:r>
          </w:p>
        </w:tc>
        <w:tc>
          <w:tcPr>
            <w:tcW w:w="0" w:type="auto"/>
            <w:vAlign w:val="bottom"/>
          </w:tcPr>
          <w:p w14:paraId="5BBACDA4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Analysis</w:t>
            </w:r>
          </w:p>
        </w:tc>
        <w:tc>
          <w:tcPr>
            <w:tcW w:w="0" w:type="auto"/>
            <w:vAlign w:val="bottom"/>
          </w:tcPr>
          <w:p w14:paraId="286FF6C1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Stata</w:t>
            </w:r>
          </w:p>
        </w:tc>
        <w:tc>
          <w:tcPr>
            <w:tcW w:w="0" w:type="auto"/>
            <w:vAlign w:val="bottom"/>
          </w:tcPr>
          <w:p w14:paraId="6A5A0C59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Final Analysis of outcomes</w:t>
            </w:r>
          </w:p>
        </w:tc>
      </w:tr>
      <w:tr w:rsidR="002B655A" w14:paraId="77125A6B" w14:textId="77777777" w:rsidTr="009263A5">
        <w:tc>
          <w:tcPr>
            <w:tcW w:w="0" w:type="auto"/>
            <w:vAlign w:val="bottom"/>
          </w:tcPr>
          <w:p w14:paraId="498D9FE5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Figures02202024.do</w:t>
            </w:r>
          </w:p>
        </w:tc>
        <w:tc>
          <w:tcPr>
            <w:tcW w:w="0" w:type="auto"/>
            <w:vAlign w:val="bottom"/>
          </w:tcPr>
          <w:p w14:paraId="593BDF7E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Analysis</w:t>
            </w:r>
          </w:p>
        </w:tc>
        <w:tc>
          <w:tcPr>
            <w:tcW w:w="0" w:type="auto"/>
            <w:vAlign w:val="bottom"/>
          </w:tcPr>
          <w:p w14:paraId="68F9D3AA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Stata</w:t>
            </w:r>
          </w:p>
        </w:tc>
        <w:tc>
          <w:tcPr>
            <w:tcW w:w="0" w:type="auto"/>
            <w:vAlign w:val="bottom"/>
          </w:tcPr>
          <w:p w14:paraId="533A1A5E" w14:textId="77777777" w:rsidR="002B655A" w:rsidRDefault="002B655A" w:rsidP="002B655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Figures</w:t>
            </w:r>
          </w:p>
        </w:tc>
      </w:tr>
    </w:tbl>
    <w:p w14:paraId="381E31B9" w14:textId="77777777" w:rsidR="006E4F40" w:rsidRPr="006E4F40" w:rsidRDefault="006E4F40"/>
    <w:sectPr w:rsidR="006E4F40" w:rsidRPr="006E4F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F40"/>
    <w:rsid w:val="002B655A"/>
    <w:rsid w:val="002C6C97"/>
    <w:rsid w:val="00406279"/>
    <w:rsid w:val="00417E63"/>
    <w:rsid w:val="006D4B7F"/>
    <w:rsid w:val="006E4F40"/>
    <w:rsid w:val="007A7D4D"/>
    <w:rsid w:val="007D34FE"/>
    <w:rsid w:val="00912724"/>
    <w:rsid w:val="00AB0C46"/>
    <w:rsid w:val="00D451FE"/>
    <w:rsid w:val="00DB29E0"/>
    <w:rsid w:val="00E13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D6B68"/>
  <w15:chartTrackingRefBased/>
  <w15:docId w15:val="{10884A5F-C90F-45A0-A634-E07E8F10A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E4F4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4F40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E4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17E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4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effrey.hemmeter@ssa.gov" TargetMode="External"/><Relationship Id="rId4" Type="http://schemas.openxmlformats.org/officeDocument/2006/relationships/hyperlink" Target="https://www.ssa.gov/dataexchang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Hemmeter, Jeffrey</dc:creator>
  <cp:keywords/>
  <dc:description/>
  <cp:lastModifiedBy>Jeffrey Hemmeter</cp:lastModifiedBy>
  <cp:revision>6</cp:revision>
  <dcterms:created xsi:type="dcterms:W3CDTF">2024-03-13T12:22:00Z</dcterms:created>
  <dcterms:modified xsi:type="dcterms:W3CDTF">2024-03-19T16:49:00Z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-173215734</vt:i4>
  </property>
  <property fmtid="{D5CDD505-2E9C-101B-9397-08002B2CF9AE}" pid="3" name="_NewReviewCycle">
    <vt:lpwstr/>
  </property>
  <property fmtid="{D5CDD505-2E9C-101B-9397-08002B2CF9AE}" pid="4" name="_EmailSubject">
    <vt:lpwstr>[EXTERNAL] Re: Decision on AEJPol-2021-0560.R1</vt:lpwstr>
  </property>
  <property fmtid="{D5CDD505-2E9C-101B-9397-08002B2CF9AE}" pid="5" name="_AuthorEmail">
    <vt:lpwstr>Jeffrey.Hemmeter@ssa.gov</vt:lpwstr>
  </property>
  <property fmtid="{D5CDD505-2E9C-101B-9397-08002B2CF9AE}" pid="6" name="_AuthorEmailDisplayName">
    <vt:lpwstr>Hemmeter, Jeffrey</vt:lpwstr>
  </property>
</Properties>
</file>